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3540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7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33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  <w:r>
              <w:rPr>
                <w:b/>
                <w:spacing w:val="6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</w:p>
          <w:p>
            <w:pPr>
              <w:pStyle w:val="TableParagraph"/>
              <w:ind w:left="133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133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24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 18 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25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firstLine="708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юге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востоке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снег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кратковременная метель;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42" w:lineRule="auto" w:before="0" w:after="0"/>
              <w:ind w:left="107"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дорогах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гололедицы,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снежная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каша, накат.</w:t>
            </w:r>
          </w:p>
          <w:p>
            <w:pPr>
              <w:pStyle w:val="TableParagraph"/>
              <w:ind w:left="107" w:firstLine="708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городе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дорогах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гололедицы.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801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582" w:firstLine="302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1329" w:right="210" w:hanging="1095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128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 w:before="2"/>
              <w:ind w:left="133" w:right="129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22" w:lineRule="exact" w:before="50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(аварии)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объектах ЖКХ</w:t>
            </w:r>
          </w:p>
          <w:p>
            <w:pPr>
              <w:pStyle w:val="TableParagraph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отключение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электро-,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тепло-,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газоснабжения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0"/>
              <w:ind w:left="1708" w:hanging="1390"/>
              <w:rPr>
                <w:sz w:val="28"/>
              </w:rPr>
            </w:pPr>
            <w:r>
              <w:rPr>
                <w:sz w:val="28"/>
              </w:rPr>
              <w:t>Риск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взрывов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 угарным газом</w:t>
            </w:r>
          </w:p>
        </w:tc>
      </w:tr>
      <w:tr>
        <w:trPr>
          <w:trHeight w:val="73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9"/>
              <w:ind w:left="1554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40307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6;width:458;height:328" filled="true" fillcolor="#ff0000" stroked="false">
              <v:fill type="solid"/>
            </v:rect>
            <v:rect style="position:absolute;left:1706;top:486;width:458;height:328" filled="false" stroked="true" strokeweight="2pt" strokecolor="#ff0000">
              <v:stroke dashstyle="solid"/>
            </v:rect>
            <v:rect style="position:absolute;left:1706;top:905;width:448;height:325" filled="true" fillcolor="#ff9900" stroked="false">
              <v:fill type="solid"/>
            </v:rect>
            <v:rect style="position:absolute;left:1706;top:905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78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3.990307pt;width:24.9pt;height:39.3pt;mso-position-horizontal-relative:page;mso-position-vertical-relative:paragraph;z-index:-15847936" coordorigin="7451,480" coordsize="498,786">
            <v:rect style="position:absolute;left:7481;top:920;width:448;height:325" filled="true" fillcolor="#00af50" stroked="false">
              <v:fill type="solid"/>
            </v:rect>
            <v:rect style="position:absolute;left:7481;top:920;width:448;height:325" filled="false" stroked="true" strokeweight="2pt" strokecolor="#00af50">
              <v:stroke dashstyle="solid"/>
            </v:rect>
            <v:rect style="position:absolute;left:7471;top:499;width:458;height:330" filled="true" fillcolor="#ffff00" stroked="false">
              <v:fill type="solid"/>
            </v:rect>
            <v:rect style="position:absolute;left:7471;top:499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09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25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октября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1246" w:right="1619" w:firstLine="1368"/>
        <w:jc w:val="left"/>
        <w:rPr>
          <w:b/>
          <w:sz w:val="28"/>
        </w:rPr>
      </w:pPr>
      <w:r>
        <w:rPr>
          <w:b/>
          <w:sz w:val="28"/>
        </w:rPr>
        <w:t>с 18 часов 24 октября до 18 часов 25 октября 2023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ind w:left="1246" w:right="5313" w:firstLine="0"/>
        <w:jc w:val="left"/>
      </w:pPr>
      <w:r>
        <w:rPr/>
        <w:t>Ночью преимущественно без осадков.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 снег.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 северный,</w:t>
      </w:r>
      <w:r>
        <w:rPr>
          <w:spacing w:val="-2"/>
        </w:rPr>
        <w:t> </w:t>
      </w:r>
      <w:r>
        <w:rPr/>
        <w:t>северо-западный 6-11</w:t>
      </w:r>
      <w:r>
        <w:rPr>
          <w:spacing w:val="-4"/>
        </w:rPr>
        <w:t> </w:t>
      </w:r>
      <w:r>
        <w:rPr/>
        <w:t>м/с,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2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 -2..-4˚,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 +1..-1˚.</w:t>
      </w:r>
    </w:p>
    <w:p>
      <w:pPr>
        <w:pStyle w:val="BodyText"/>
        <w:spacing w:before="1"/>
        <w:ind w:left="1246" w:firstLine="0"/>
      </w:pPr>
      <w:r>
        <w:rPr/>
        <w:t>На</w:t>
      </w:r>
      <w:r>
        <w:rPr>
          <w:spacing w:val="-3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гололедицы.</w:t>
      </w: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ind w:left="1246" w:right="1619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юге</w:t>
      </w:r>
      <w:r>
        <w:rPr>
          <w:spacing w:val="-2"/>
        </w:rPr>
        <w:t> </w:t>
      </w:r>
      <w:r>
        <w:rPr/>
        <w:t>мокрый</w:t>
      </w:r>
      <w:r>
        <w:rPr>
          <w:spacing w:val="-2"/>
        </w:rPr>
        <w:t> </w:t>
      </w:r>
      <w:r>
        <w:rPr/>
        <w:t>снег,</w:t>
      </w:r>
      <w:r>
        <w:rPr>
          <w:spacing w:val="-3"/>
        </w:rPr>
        <w:t> </w:t>
      </w:r>
      <w:r>
        <w:rPr/>
        <w:t>снег,</w:t>
      </w:r>
      <w:r>
        <w:rPr>
          <w:spacing w:val="-3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кратковременная</w:t>
      </w:r>
      <w:r>
        <w:rPr>
          <w:spacing w:val="-4"/>
        </w:rPr>
        <w:t> </w:t>
      </w:r>
      <w:r>
        <w:rPr/>
        <w:t>метель.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 небольшой снег.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 северный,</w:t>
      </w:r>
      <w:r>
        <w:rPr>
          <w:spacing w:val="-2"/>
        </w:rPr>
        <w:t> </w:t>
      </w:r>
      <w:r>
        <w:rPr/>
        <w:t>северо-западный 6-11</w:t>
      </w:r>
      <w:r>
        <w:rPr>
          <w:spacing w:val="-4"/>
        </w:rPr>
        <w:t> </w:t>
      </w:r>
      <w:r>
        <w:rPr/>
        <w:t>м/с,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jc w:val="left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-2..-6˚,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-67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 +1..-2˚.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На</w:t>
      </w:r>
      <w:r>
        <w:rPr>
          <w:spacing w:val="-3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гололедицы.</w:t>
      </w: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мокрый</w:t>
      </w:r>
      <w:r>
        <w:rPr>
          <w:spacing w:val="-1"/>
        </w:rPr>
        <w:t> </w:t>
      </w:r>
      <w:r>
        <w:rPr/>
        <w:t>снег,</w:t>
      </w:r>
      <w:r>
        <w:rPr>
          <w:spacing w:val="-2"/>
        </w:rPr>
        <w:t> </w:t>
      </w:r>
      <w:r>
        <w:rPr/>
        <w:t>снег,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сильный;</w:t>
      </w:r>
    </w:p>
    <w:p>
      <w:pPr>
        <w:pStyle w:val="BodyText"/>
        <w:spacing w:line="242" w:lineRule="auto"/>
        <w:ind w:left="1246" w:right="4304" w:firstLine="0"/>
        <w:jc w:val="left"/>
      </w:pPr>
      <w:r>
        <w:rPr/>
        <w:t>в отдельных районах кратковременная метель.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 небольшой снег.</w:t>
      </w:r>
    </w:p>
    <w:p>
      <w:pPr>
        <w:pStyle w:val="BodyText"/>
        <w:ind w:left="1246" w:right="333" w:firstLine="0"/>
        <w:jc w:val="left"/>
      </w:pPr>
      <w:r>
        <w:rPr/>
        <w:t>Ветер северный, северо-западный 6-11 м/с, ночью местами порывами до 15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2"/>
        </w:rPr>
        <w:t> </w:t>
      </w:r>
      <w:r>
        <w:rPr/>
        <w:t>-1..-4˚.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+1..-1˚.</w:t>
      </w:r>
    </w:p>
    <w:p>
      <w:pPr>
        <w:pStyle w:val="BodyText"/>
        <w:ind w:left="1246" w:firstLine="0"/>
        <w:jc w:val="left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гололедицы,</w:t>
      </w:r>
      <w:r>
        <w:rPr>
          <w:spacing w:val="-3"/>
        </w:rPr>
        <w:t> </w:t>
      </w:r>
      <w:r>
        <w:rPr/>
        <w:t>снежная</w:t>
      </w:r>
      <w:r>
        <w:rPr>
          <w:spacing w:val="-1"/>
        </w:rPr>
        <w:t> </w:t>
      </w:r>
      <w:r>
        <w:rPr/>
        <w:t>каша,</w:t>
      </w:r>
      <w:r>
        <w:rPr>
          <w:spacing w:val="-3"/>
        </w:rPr>
        <w:t> </w:t>
      </w:r>
      <w:r>
        <w:rPr/>
        <w:t>накат.</w:t>
      </w:r>
    </w:p>
    <w:p>
      <w:pPr>
        <w:spacing w:line="237" w:lineRule="auto" w:before="2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6"/>
        <w:ind w:left="1246" w:firstLine="0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Ночью</w:t>
      </w:r>
      <w:r>
        <w:rPr>
          <w:spacing w:val="-4"/>
        </w:rPr>
        <w:t> </w:t>
      </w:r>
      <w:r>
        <w:rPr/>
        <w:t>мокрый</w:t>
      </w:r>
      <w:r>
        <w:rPr>
          <w:spacing w:val="-1"/>
        </w:rPr>
        <w:t> </w:t>
      </w:r>
      <w:r>
        <w:rPr/>
        <w:t>снег,</w:t>
      </w:r>
      <w:r>
        <w:rPr>
          <w:spacing w:val="-2"/>
        </w:rPr>
        <w:t> </w:t>
      </w:r>
      <w:r>
        <w:rPr/>
        <w:t>снег,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сильный;</w:t>
      </w:r>
    </w:p>
    <w:p>
      <w:pPr>
        <w:pStyle w:val="BodyText"/>
        <w:ind w:left="1246" w:right="4304" w:firstLine="0"/>
        <w:jc w:val="left"/>
      </w:pPr>
      <w:r>
        <w:rPr/>
        <w:t>в отдельных районах кратковременная метель.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 небольшой снег.</w:t>
      </w:r>
    </w:p>
    <w:p>
      <w:pPr>
        <w:pStyle w:val="BodyText"/>
        <w:ind w:left="1246" w:right="333" w:firstLine="0"/>
        <w:jc w:val="left"/>
      </w:pPr>
      <w:r>
        <w:rPr/>
        <w:t>Ветер северный, северо-западный 6-11 м/с, ночью местами порывами до 15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2"/>
        </w:rPr>
        <w:t> </w:t>
      </w:r>
      <w:r>
        <w:rPr/>
        <w:t>-2..-6˚.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+1..-2˚.</w:t>
      </w:r>
    </w:p>
    <w:p>
      <w:pPr>
        <w:pStyle w:val="BodyText"/>
        <w:ind w:left="1246" w:firstLine="0"/>
        <w:jc w:val="left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гололедицы,</w:t>
      </w:r>
      <w:r>
        <w:rPr>
          <w:spacing w:val="-3"/>
        </w:rPr>
        <w:t> </w:t>
      </w:r>
      <w:r>
        <w:rPr/>
        <w:t>снежная</w:t>
      </w:r>
      <w:r>
        <w:rPr>
          <w:spacing w:val="-1"/>
        </w:rPr>
        <w:t> </w:t>
      </w:r>
      <w:r>
        <w:rPr/>
        <w:t>каша,</w:t>
      </w:r>
      <w:r>
        <w:rPr>
          <w:spacing w:val="-3"/>
        </w:rPr>
        <w:t> </w:t>
      </w:r>
      <w:r>
        <w:rPr/>
        <w:t>накат.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24.10.2023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50,07 м (-1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66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63,31 м (+4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8"/>
      </w:pPr>
      <w:r>
        <w:rPr/>
        <w:t>на нижнем бьефе Нижнекамской ГЭС уровень воды 50,54 м (+13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>
          <w:spacing w:val="-1"/>
        </w:rPr>
        <w:t>Лесопожарная</w:t>
      </w:r>
      <w:r>
        <w:rPr>
          <w:spacing w:val="-6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24.10.2023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наблюдался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25.10.2023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2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м/с).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авиационными происшествиями и нарушением в работе</w:t>
      </w:r>
      <w:r>
        <w:rPr>
          <w:spacing w:val="-67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осадки,</w:t>
      </w:r>
      <w:r>
        <w:rPr>
          <w:spacing w:val="-2"/>
        </w:rPr>
        <w:t> </w:t>
      </w:r>
      <w:r>
        <w:rPr/>
        <w:t>кратковременная</w:t>
      </w:r>
      <w:r>
        <w:rPr>
          <w:spacing w:val="1"/>
        </w:rPr>
        <w:t> </w:t>
      </w:r>
      <w:r>
        <w:rPr/>
        <w:t>метель,</w:t>
      </w:r>
      <w:r>
        <w:rPr>
          <w:spacing w:val="-3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порывами</w:t>
      </w:r>
      <w:r>
        <w:rPr>
          <w:spacing w:val="2"/>
        </w:rPr>
        <w:t> </w:t>
      </w:r>
      <w:r>
        <w:rPr/>
        <w:t>до 15 м/с,</w:t>
      </w:r>
      <w:r>
        <w:rPr>
          <w:spacing w:val="-5"/>
        </w:rPr>
        <w:t> </w:t>
      </w:r>
      <w:r>
        <w:rPr/>
        <w:t>гололедица).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</w:t>
      </w:r>
      <w:r>
        <w:rPr>
          <w:spacing w:val="1"/>
        </w:rPr>
        <w:t> </w:t>
      </w:r>
      <w:r>
        <w:rPr/>
        <w:t>кратковременная метель, сильные осадки, снежная каша, накат,</w:t>
      </w:r>
      <w:r>
        <w:rPr>
          <w:spacing w:val="1"/>
        </w:rPr>
        <w:t> </w:t>
      </w:r>
      <w:r>
        <w:rPr/>
        <w:t>гололедица,</w:t>
      </w:r>
      <w:r>
        <w:rPr>
          <w:spacing w:val="-2"/>
        </w:rPr>
        <w:t> </w:t>
      </w:r>
      <w:r>
        <w:rPr/>
        <w:t>несоблюдение 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6"/>
        </w:rPr>
        <w:t> </w:t>
      </w:r>
      <w:r>
        <w:rPr/>
        <w:t>на</w:t>
      </w:r>
      <w:r>
        <w:rPr>
          <w:spacing w:val="4"/>
        </w:rPr>
        <w:t> </w:t>
      </w:r>
      <w:r>
        <w:rPr/>
        <w:t>водных</w:t>
      </w:r>
      <w:r>
        <w:rPr>
          <w:spacing w:val="7"/>
        </w:rPr>
        <w:t> </w:t>
      </w:r>
      <w:r>
        <w:rPr/>
        <w:t>объектах,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связанных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эксплуатацией</w:t>
      </w:r>
      <w:r>
        <w:rPr>
          <w:spacing w:val="7"/>
        </w:rPr>
        <w:t> </w:t>
      </w:r>
      <w:r>
        <w:rPr/>
        <w:t>речного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 w:firstLine="0"/>
      </w:pPr>
      <w:r>
        <w:rPr/>
        <w:t>транспорта, посадки судов на мель </w:t>
      </w:r>
      <w:r>
        <w:rPr>
          <w:b/>
        </w:rPr>
        <w:t>(Источник ЧС (происшествий) </w:t>
      </w:r>
      <w:r>
        <w:rPr/>
        <w:t>– 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пользования водными объектами для плавания, а также правил поведения на воде,</w:t>
      </w:r>
      <w:r>
        <w:rPr>
          <w:spacing w:val="1"/>
        </w:rPr>
        <w:t> </w:t>
      </w:r>
      <w:r>
        <w:rPr/>
        <w:t>низкий</w:t>
      </w:r>
      <w:r>
        <w:rPr>
          <w:spacing w:val="-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воды на</w:t>
      </w:r>
      <w:r>
        <w:rPr>
          <w:spacing w:val="-1"/>
        </w:rPr>
        <w:t> </w:t>
      </w:r>
      <w:r>
        <w:rPr/>
        <w:t>водохранилищах).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8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0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кратковременная метель).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spacing w:before="5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Рекомендуемые превентивные мероприятия (в связи с неблагоприятными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40" w:lineRule="auto"/>
        <w:ind w:left="538" w:right="273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27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5"/>
        </w:rPr>
        <w:t> </w:t>
      </w:r>
      <w:r>
        <w:rPr/>
        <w:t>незамедлительное   </w:t>
      </w:r>
      <w:r>
        <w:rPr>
          <w:spacing w:val="67"/>
        </w:rPr>
        <w:t> </w:t>
      </w:r>
      <w:r>
        <w:rPr/>
        <w:t>размещение   </w:t>
      </w:r>
      <w:r>
        <w:rPr>
          <w:spacing w:val="64"/>
        </w:rPr>
        <w:t> </w:t>
      </w:r>
      <w:r>
        <w:rPr/>
        <w:t>на   </w:t>
      </w:r>
      <w:r>
        <w:rPr>
          <w:spacing w:val="67"/>
        </w:rPr>
        <w:t> </w:t>
      </w:r>
      <w:r>
        <w:rPr/>
        <w:t>официальных   </w:t>
      </w:r>
      <w:r>
        <w:rPr>
          <w:spacing w:val="67"/>
        </w:rPr>
        <w:t> </w:t>
      </w:r>
      <w:r>
        <w:rPr/>
        <w:t>сайтах</w:t>
      </w:r>
    </w:p>
    <w:p>
      <w:pPr>
        <w:pStyle w:val="BodyText"/>
        <w:ind w:right="277" w:firstLine="0"/>
      </w:pP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left="1246" w:firstLine="0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4"/>
        <w:ind w:left="1246" w:firstLine="0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2" w:lineRule="auto" w:before="1"/>
        <w:ind w:left="538" w:right="275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8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 метеорологическим</w:t>
      </w:r>
      <w:r>
        <w:rPr>
          <w:spacing w:val="1"/>
        </w:rPr>
        <w:t> </w:t>
      </w:r>
      <w:r>
        <w:rPr/>
        <w:t>явлением;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246" w:firstLine="0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321" w:lineRule="exact"/>
        <w:ind w:left="1246" w:firstLine="0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3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6"/>
        <w:ind w:left="538" w:right="272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4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before="2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5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240" w:lineRule="auto"/>
        <w:ind w:left="1246" w:firstLine="0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1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сильные осадки, ветер порывами 15-17 м/с, гололед, гололедица. Прогноз</w:t>
      </w:r>
      <w:r>
        <w:rPr>
          <w:spacing w:val="1"/>
        </w:rPr>
        <w:t> </w:t>
      </w:r>
      <w:r>
        <w:rPr/>
        <w:t>оправдался</w:t>
      </w:r>
      <w:r>
        <w:rPr>
          <w:spacing w:val="-1"/>
        </w:rPr>
        <w:t> </w:t>
      </w:r>
      <w:r>
        <w:rPr/>
        <w:t>частично.</w:t>
      </w:r>
    </w:p>
    <w:p>
      <w:pPr>
        <w:pStyle w:val="BodyText"/>
        <w:ind w:right="274"/>
      </w:pPr>
      <w:r>
        <w:rPr/>
        <w:t>В прошедшие сутки в республике наблюдалась пасмурная погода с осадками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мокрого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дождя,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туманом.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70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были от</w:t>
      </w:r>
      <w:r>
        <w:rPr>
          <w:spacing w:val="-4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+6˚.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7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1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8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6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8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2023-10-24T12:38:06Z</dcterms:created>
  <dcterms:modified xsi:type="dcterms:W3CDTF">2023-10-24T12:38:06Z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